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F12A" w14:textId="4BBE5278" w:rsidR="00DB3745" w:rsidRDefault="00253F01">
      <w:pPr>
        <w:pStyle w:val="Data-Loc"/>
      </w:pPr>
      <w:r>
        <w:t>IUNIE 2026</w:t>
      </w:r>
      <w:r w:rsidR="00F13AB5">
        <w:t>, Cojasca</w:t>
      </w:r>
    </w:p>
    <w:p w14:paraId="4DD3A06A" w14:textId="77777777" w:rsidR="00DB3745" w:rsidRDefault="00F13AB5">
      <w:pPr>
        <w:pStyle w:val="Heading1"/>
      </w:pPr>
      <w:r>
        <w:t>COMUNICAT DE ÎNCEPERE PROIECT</w:t>
      </w:r>
    </w:p>
    <w:p w14:paraId="4ABDD946" w14:textId="77777777" w:rsidR="00DB3745" w:rsidRDefault="00DB3745"/>
    <w:p w14:paraId="7045394E" w14:textId="77777777" w:rsidR="00DB3745" w:rsidRDefault="00F13AB5">
      <w:pPr>
        <w:pStyle w:val="ListParagraph"/>
        <w:numPr>
          <w:ilvl w:val="0"/>
          <w:numId w:val="1"/>
        </w:numPr>
        <w:spacing w:after="60"/>
        <w:ind w:left="709" w:firstLine="371"/>
      </w:pPr>
      <w:r>
        <w:t>Denumirea beneficiarului: COMUNA COJASCA</w:t>
      </w:r>
    </w:p>
    <w:p w14:paraId="2AB44E3D" w14:textId="77777777" w:rsidR="00DB3745" w:rsidRDefault="00F13AB5">
      <w:pPr>
        <w:pStyle w:val="ListParagraph"/>
        <w:numPr>
          <w:ilvl w:val="0"/>
          <w:numId w:val="1"/>
        </w:numPr>
        <w:spacing w:after="60"/>
        <w:ind w:left="709" w:firstLine="371"/>
      </w:pPr>
      <w:r>
        <w:t>Titlul proiectului: „Construire Școală Primară cu clasele I-IV în sat Cojasca, comuna Cojasca, județul Dâmbovița”</w:t>
      </w:r>
    </w:p>
    <w:p w14:paraId="622A3906" w14:textId="77777777" w:rsidR="00DB3745" w:rsidRDefault="00F13AB5">
      <w:pPr>
        <w:pStyle w:val="ListParagraph"/>
        <w:numPr>
          <w:ilvl w:val="0"/>
          <w:numId w:val="1"/>
        </w:numPr>
        <w:spacing w:after="60"/>
        <w:ind w:left="709" w:firstLine="371"/>
      </w:pPr>
      <w:r>
        <w:t>Programul Regional Sud-Muntenia 2021-2027</w:t>
      </w:r>
    </w:p>
    <w:p w14:paraId="08DA843C" w14:textId="77777777" w:rsidR="00DB3745" w:rsidRDefault="00F13AB5">
      <w:pPr>
        <w:pStyle w:val="ListParagraph"/>
        <w:numPr>
          <w:ilvl w:val="0"/>
          <w:numId w:val="1"/>
        </w:numPr>
        <w:spacing w:after="60"/>
        <w:ind w:left="709" w:firstLine="371"/>
      </w:pPr>
      <w:r>
        <w:t>Prioritatea 5 - „O regiune educată”, Obiectivul specific RSO4.2 - „Îmbunătățirea accesului la servicii favorabile incluziunii și de calitate în educație, formare și învățare pe tot parcursul vieții prin dezvoltarea infrastructurii accesibile, inclusiv prin promovarea rezilienței pentru educația și formarea la distanță și online”, Operațiunea B - Sprijin acordat învățământului primar și secundar pentru îmbunătățirea accesului egal la servicii de calitate și incluzive în educație, inclusiv prin promovarea rezilienței pentru educația și formarea la distanță și online, Apel PRSM/310/PRSM_P5/OP4/RSO4.2/PRSM_A23</w:t>
      </w:r>
    </w:p>
    <w:p w14:paraId="420F983C" w14:textId="77777777" w:rsidR="00DB3745" w:rsidRDefault="00F13AB5">
      <w:pPr>
        <w:pStyle w:val="ListParagraph"/>
        <w:numPr>
          <w:ilvl w:val="0"/>
          <w:numId w:val="1"/>
        </w:numPr>
        <w:spacing w:after="60"/>
        <w:ind w:left="709" w:firstLine="371"/>
      </w:pPr>
      <w:r>
        <w:t>Codul SMIS: 340886</w:t>
      </w:r>
    </w:p>
    <w:p w14:paraId="6B50169A" w14:textId="77777777" w:rsidR="00DB3745" w:rsidRDefault="00F13AB5">
      <w:pPr>
        <w:pStyle w:val="ListParagraph"/>
        <w:numPr>
          <w:ilvl w:val="0"/>
          <w:numId w:val="1"/>
        </w:numPr>
        <w:spacing w:after="60"/>
        <w:ind w:left="709" w:firstLine="371"/>
      </w:pPr>
      <w:r>
        <w:t>Contract de finanțare: nr. 804/25.05.2026</w:t>
      </w:r>
    </w:p>
    <w:p w14:paraId="7A8005DB" w14:textId="77777777" w:rsidR="00DB3745" w:rsidRDefault="00F13AB5">
      <w:pPr>
        <w:pStyle w:val="ListParagraph"/>
        <w:numPr>
          <w:ilvl w:val="0"/>
          <w:numId w:val="1"/>
        </w:numPr>
        <w:spacing w:after="60"/>
        <w:ind w:left="709" w:firstLine="371"/>
      </w:pPr>
      <w:r>
        <w:t>Localizare: județul Dâmbovița, comuna Cojasca, sat Cojasca, Strada Principală nr. 681, punctul spate școală, nr. cadastral/CF 77609, suprafață teren 9.215 mp</w:t>
      </w:r>
    </w:p>
    <w:p w14:paraId="1C6DA2C3" w14:textId="77777777" w:rsidR="00DB3745" w:rsidRDefault="00F13AB5">
      <w:pPr>
        <w:pStyle w:val="ListParagraph"/>
        <w:numPr>
          <w:ilvl w:val="0"/>
          <w:numId w:val="1"/>
        </w:numPr>
        <w:spacing w:after="60"/>
        <w:ind w:left="709" w:firstLine="371"/>
      </w:pPr>
      <w:r>
        <w:t>Obiectivul general al proiectului este construirea și dotarea infrastructurii educaționale publice destinate educației pentru nivelul primar și secundar, respectiv o școală cu clasele I-IV și o sală de sport în comuna Cojasca, județul Dâmbovița. Proiectul urmărește îmbunătățirea accesului egal la servicii de educație de calitate și incluzive pentru elevii din comuna Cojasca, prin dezvoltarea unei infrastructuri accesibile, sigure, moderne, eficiente energetic și adaptate cerințelor actuale, inclusiv prin digitalizare, prin măsuri sociale de formare și prin instruirea personalului de exploatare.</w:t>
      </w:r>
    </w:p>
    <w:p w14:paraId="3509E496" w14:textId="77777777" w:rsidR="00DB3745" w:rsidRDefault="00F13AB5">
      <w:pPr>
        <w:pStyle w:val="ListParagraph"/>
        <w:numPr>
          <w:ilvl w:val="0"/>
          <w:numId w:val="1"/>
        </w:numPr>
        <w:spacing w:after="60"/>
        <w:ind w:left="709" w:firstLine="371"/>
      </w:pPr>
      <w:r>
        <w:t>Obiective specifice:</w:t>
      </w:r>
    </w:p>
    <w:p w14:paraId="57932ED9" w14:textId="77777777" w:rsidR="00DB3745" w:rsidRDefault="00F13AB5">
      <w:pPr>
        <w:pStyle w:val="ListParagraph"/>
        <w:numPr>
          <w:ilvl w:val="0"/>
          <w:numId w:val="1"/>
        </w:numPr>
        <w:spacing w:after="60"/>
        <w:ind w:left="709" w:firstLine="371"/>
      </w:pPr>
      <w:r>
        <w:t>Obiectivul specific 1: Construirea și dotarea școlii primare cu clasele I-IV și a sălii de sport din satul Cojasca, în vederea creării unui mediu de învățare sigur, accesibil, incluziv și adecvat desfășurării activităților didactice și sportive.</w:t>
      </w:r>
    </w:p>
    <w:p w14:paraId="44792B4D" w14:textId="77777777" w:rsidR="00DB3745" w:rsidRDefault="00F13AB5">
      <w:pPr>
        <w:pStyle w:val="ListParagraph"/>
        <w:numPr>
          <w:ilvl w:val="0"/>
          <w:numId w:val="1"/>
        </w:numPr>
        <w:spacing w:after="60"/>
        <w:ind w:left="709" w:firstLine="371"/>
      </w:pPr>
      <w:r>
        <w:t>Obiectivul specific 2: Îmbunătățirea condițiilor de participare la educație pentru elevii din comuna Cojasca, inclusiv pentru elevii aparținând grupurilor vulnerabile, prin dezvoltarea unei infrastructuri moderne, accesibile și adaptate cerințelor actuale ale procesului educațional.</w:t>
      </w:r>
    </w:p>
    <w:p w14:paraId="777EF519" w14:textId="77777777" w:rsidR="00DB3745" w:rsidRDefault="00F13AB5">
      <w:pPr>
        <w:pStyle w:val="ListParagraph"/>
        <w:numPr>
          <w:ilvl w:val="0"/>
          <w:numId w:val="1"/>
        </w:numPr>
        <w:spacing w:after="60"/>
        <w:ind w:left="709" w:firstLine="371"/>
      </w:pPr>
      <w:r>
        <w:lastRenderedPageBreak/>
        <w:t>Obiectivul specific 3: Creșterea calității și atractivității serviciilor educaționale la nivel local prin dotări moderne, digitalizare, cursuri de specializare/programe de formare pentru cadre didactice și pregătirea personalului de exploatare/responsabil cu mentenanța infrastructurii.</w:t>
      </w:r>
    </w:p>
    <w:p w14:paraId="5C8DAEE6" w14:textId="77777777" w:rsidR="00DB3745" w:rsidRDefault="00F13AB5">
      <w:pPr>
        <w:pStyle w:val="ListParagraph"/>
        <w:numPr>
          <w:ilvl w:val="0"/>
          <w:numId w:val="1"/>
        </w:numPr>
        <w:spacing w:after="60"/>
        <w:ind w:left="709" w:firstLine="371"/>
      </w:pPr>
      <w:r>
        <w:t>Scopul proiectului și realizările preconizate sau efective ale acestuia:</w:t>
      </w:r>
    </w:p>
    <w:p w14:paraId="427BA045" w14:textId="77777777" w:rsidR="00DB3745" w:rsidRDefault="00F13AB5">
      <w:pPr>
        <w:pStyle w:val="ListParagraph"/>
        <w:numPr>
          <w:ilvl w:val="0"/>
          <w:numId w:val="1"/>
        </w:numPr>
        <w:spacing w:after="60"/>
        <w:ind w:left="709" w:firstLine="371"/>
      </w:pPr>
      <w:r>
        <w:t>RSO4.2 - Îmbunătățirea accesului la servicii favorabile incluziunii și de calitate în educație, formare și învățare pe tot parcursul vieții, prin dezvoltarea infrastructurii accesibile, inclusiv prin promovarea rezilienței pentru educația și formarea la distanță și online.</w:t>
      </w:r>
    </w:p>
    <w:p w14:paraId="1BC0546E" w14:textId="77777777" w:rsidR="00DB3745" w:rsidRDefault="00F13AB5">
      <w:pPr>
        <w:pStyle w:val="ListParagraph"/>
        <w:numPr>
          <w:ilvl w:val="0"/>
          <w:numId w:val="1"/>
        </w:numPr>
        <w:spacing w:after="60"/>
        <w:ind w:left="709" w:firstLine="371"/>
      </w:pPr>
      <w:r>
        <w:t>Componenta 1 - Construirea școlii primare cu clasele I-IV și a sălii de sport în sat Cojasca, comuna Cojasca, județul Dâmbovița;</w:t>
      </w:r>
    </w:p>
    <w:p w14:paraId="3C73BFE0" w14:textId="77777777" w:rsidR="00D530C2" w:rsidRDefault="00EE3F17">
      <w:pPr>
        <w:pStyle w:val="ListParagraph"/>
        <w:numPr>
          <w:ilvl w:val="0"/>
          <w:numId w:val="1"/>
        </w:numPr>
        <w:spacing w:after="60"/>
        <w:ind w:left="709" w:firstLine="371"/>
      </w:pPr>
      <w:r>
        <w:t>Componenta 2 - Dotarea infra</w:t>
      </w:r>
      <w:r>
        <w:t>structurii educaționale cu echipamentele necesare funcționării și cu aplicații/soluții pentru digitalizare;</w:t>
      </w:r>
    </w:p>
    <w:p w14:paraId="3F94CBE4" w14:textId="77777777" w:rsidR="00D530C2" w:rsidRDefault="00EE3F17">
      <w:pPr>
        <w:pStyle w:val="ListParagraph"/>
        <w:numPr>
          <w:ilvl w:val="0"/>
          <w:numId w:val="1"/>
        </w:numPr>
        <w:spacing w:after="60"/>
        <w:ind w:left="709" w:firstLine="371"/>
      </w:pPr>
      <w:r>
        <w:t>Componenta 3 - Prestarea serviciilor de asistență tehnică din partea proiectantului și dirigenție de șantier, precum și activități de management, au</w:t>
      </w:r>
      <w:r>
        <w:t>dit, informare și publicitate;</w:t>
      </w:r>
    </w:p>
    <w:p w14:paraId="4A5EC9A9" w14:textId="77777777" w:rsidR="00D530C2" w:rsidRDefault="00EE3F17">
      <w:pPr>
        <w:pStyle w:val="ListParagraph"/>
        <w:numPr>
          <w:ilvl w:val="0"/>
          <w:numId w:val="1"/>
        </w:numPr>
        <w:spacing w:after="60"/>
        <w:ind w:left="709" w:firstLine="371"/>
      </w:pPr>
      <w:r>
        <w:t>Componenta 4 - Implementarea măsurilor sociale de tip FSE+ / finanțare încrucișată FEDR, prin cursuri de specializare/programe de formare pentru cadre didactice: 2 cursuri și 20 persoane instruite;</w:t>
      </w:r>
    </w:p>
    <w:p w14:paraId="316B3E73" w14:textId="77777777" w:rsidR="00D530C2" w:rsidRDefault="00EE3F17">
      <w:pPr>
        <w:pStyle w:val="ListParagraph"/>
        <w:numPr>
          <w:ilvl w:val="0"/>
          <w:numId w:val="1"/>
        </w:numPr>
        <w:spacing w:after="60"/>
        <w:ind w:left="709" w:firstLine="371"/>
      </w:pPr>
      <w:r>
        <w:t>Componenta 5 - Pregătirea p</w:t>
      </w:r>
      <w:r>
        <w:t>ersonalului de exploatare și instruirea personalului responsabil cu mentenanța pentru utilizarea optimă a infrastructurii și a echipamentelor.</w:t>
      </w:r>
    </w:p>
    <w:p w14:paraId="7A478463" w14:textId="77777777" w:rsidR="00DB3745" w:rsidRDefault="00F13AB5">
      <w:pPr>
        <w:pStyle w:val="ListParagraph"/>
        <w:numPr>
          <w:ilvl w:val="0"/>
          <w:numId w:val="1"/>
        </w:numPr>
        <w:spacing w:after="60"/>
        <w:ind w:left="709" w:firstLine="371"/>
      </w:pPr>
      <w:r>
        <w:t>Rezultate preconizate - 1 structură educațională construită și dotată, suprafață desfășurată construită de 3.624,49 mp, capacitatea sălilor de clasă de 148 persoane, 1 aplicație/soluție dezvoltată pentru digitalizare, 2 cursuri/programe de formare realizate, 20 persoane instruite, personal de exploatare pregătit pentru utilizarea și mentenanța infrastructurii, precum și condiții îmbunătățite pentru acces egal la educație și servicii educaționale de calitate, incluzive și adaptate nevoilor comunității locale.</w:t>
      </w:r>
    </w:p>
    <w:p w14:paraId="24AEB62A" w14:textId="77777777" w:rsidR="00DB3745" w:rsidRDefault="00F13AB5">
      <w:pPr>
        <w:pStyle w:val="ListParagraph"/>
        <w:numPr>
          <w:ilvl w:val="0"/>
          <w:numId w:val="1"/>
        </w:numPr>
        <w:spacing w:after="60"/>
        <w:ind w:left="709" w:firstLine="371"/>
      </w:pPr>
      <w:r>
        <w:t>Data de începere 25 Mai 2026 și Data de finalizare 25 Aprilie 2028</w:t>
      </w:r>
    </w:p>
    <w:p w14:paraId="5D8F27D2" w14:textId="77777777" w:rsidR="00DB3745" w:rsidRDefault="00F13AB5">
      <w:pPr>
        <w:pStyle w:val="ListParagraph"/>
        <w:numPr>
          <w:ilvl w:val="0"/>
          <w:numId w:val="1"/>
        </w:numPr>
        <w:spacing w:after="60"/>
        <w:ind w:left="709" w:firstLine="371"/>
      </w:pPr>
      <w:r>
        <w:t>Buget total: 3.983.295,35 euro</w:t>
      </w:r>
    </w:p>
    <w:p w14:paraId="57F796D4" w14:textId="77777777" w:rsidR="00DB3745" w:rsidRDefault="00F13AB5">
      <w:pPr>
        <w:pStyle w:val="ListParagraph"/>
        <w:numPr>
          <w:ilvl w:val="0"/>
          <w:numId w:val="1"/>
        </w:numPr>
        <w:spacing w:after="60"/>
        <w:ind w:left="709" w:firstLine="371"/>
      </w:pPr>
      <w:r>
        <w:t>Buget UE/FEDR: 1.854.145,15 euro</w:t>
      </w:r>
    </w:p>
    <w:p w14:paraId="5062204D" w14:textId="77777777" w:rsidR="00DB3745" w:rsidRDefault="00F13AB5">
      <w:pPr>
        <w:pStyle w:val="ListParagraph"/>
        <w:numPr>
          <w:ilvl w:val="0"/>
          <w:numId w:val="1"/>
        </w:numPr>
        <w:spacing w:after="60"/>
        <w:ind w:left="709" w:firstLine="371"/>
      </w:pPr>
      <w:r>
        <w:t>Buget național: 1.911.888,01 euro</w:t>
      </w:r>
    </w:p>
    <w:p w14:paraId="5F7E0948" w14:textId="77777777" w:rsidR="00DB3745" w:rsidRDefault="00F13AB5">
      <w:pPr>
        <w:pStyle w:val="ListParagraph"/>
        <w:numPr>
          <w:ilvl w:val="0"/>
          <w:numId w:val="1"/>
        </w:numPr>
        <w:spacing w:after="60"/>
        <w:ind w:left="709" w:firstLine="371"/>
      </w:pPr>
      <w:r>
        <w:t>Buget beneficiar: 217.262,19 euro</w:t>
      </w:r>
    </w:p>
    <w:p w14:paraId="0136EACC" w14:textId="77777777" w:rsidR="00DB3745" w:rsidRDefault="00F13AB5">
      <w:pPr>
        <w:pStyle w:val="ListParagraph"/>
        <w:numPr>
          <w:ilvl w:val="0"/>
          <w:numId w:val="1"/>
        </w:numPr>
        <w:spacing w:after="60"/>
        <w:ind w:left="709" w:firstLine="371"/>
      </w:pPr>
      <w:r>
        <w:t>Pentru informații detaliate despre Programul Regional Sud-Muntenia 2021-2027, vă invităm să vizitați 2021-2027.adrmuntenia.ro, iar pentru informații despre celelalte programe cofinanțate de Uniunea Europeană, puteți accesa mfe.gov.ro.</w:t>
      </w:r>
    </w:p>
    <w:p w14:paraId="32DA4D35" w14:textId="77777777" w:rsidR="00DB3745" w:rsidRDefault="00F13AB5">
      <w:pPr>
        <w:pStyle w:val="ListParagraph"/>
        <w:numPr>
          <w:ilvl w:val="0"/>
          <w:numId w:val="1"/>
        </w:numPr>
        <w:spacing w:after="60"/>
        <w:ind w:left="709" w:firstLine="371"/>
      </w:pPr>
      <w:r>
        <w:t>Date de contact:</w:t>
      </w:r>
    </w:p>
    <w:p w14:paraId="7BD0AD76" w14:textId="0FDC3F0C" w:rsidR="00DB3745" w:rsidRDefault="00F13AB5">
      <w:pPr>
        <w:pStyle w:val="ListParagraph"/>
        <w:numPr>
          <w:ilvl w:val="0"/>
          <w:numId w:val="1"/>
        </w:numPr>
        <w:spacing w:after="60"/>
        <w:ind w:left="709" w:firstLine="371"/>
      </w:pPr>
      <w:r>
        <w:t>Site</w:t>
      </w:r>
      <w:r w:rsidR="00EC0E22" w:rsidRPr="00EC0E22">
        <w:rPr>
          <w:color w:val="FFFFFF" w:themeColor="background1"/>
        </w:rPr>
        <w:t>.</w:t>
      </w:r>
      <w:r>
        <w:t>web:</w:t>
      </w:r>
      <w:r w:rsidR="00EC0E22" w:rsidRPr="00EC0E22">
        <w:t>https://www.primariacojasca.ro/</w:t>
      </w:r>
      <w:r>
        <w:t>,e-mail: primar@primariacojasca.ro, tel. 0245 671 565</w:t>
      </w:r>
    </w:p>
    <w:p w14:paraId="0F9B90F4" w14:textId="77777777" w:rsidR="00DB3745" w:rsidRDefault="00F13AB5">
      <w:pPr>
        <w:pStyle w:val="ListParagraph"/>
        <w:numPr>
          <w:ilvl w:val="0"/>
          <w:numId w:val="1"/>
        </w:numPr>
        <w:spacing w:after="60"/>
        <w:ind w:left="709" w:firstLine="371"/>
      </w:pPr>
      <w:r>
        <w:t>Adresă: Strada Principală nr. 277, localitatea Cojasca, județul Dâmbovița</w:t>
      </w:r>
    </w:p>
    <w:sectPr w:rsidR="00DB3745" w:rsidSect="00044A18">
      <w:headerReference w:type="even" r:id="rId7"/>
      <w:headerReference w:type="default" r:id="rId8"/>
      <w:footerReference w:type="even" r:id="rId9"/>
      <w:footerReference w:type="default" r:id="rId10"/>
      <w:headerReference w:type="first" r:id="rId11"/>
      <w:footerReference w:type="first" r:id="rId12"/>
      <w:pgSz w:w="11906" w:h="16838" w:code="9"/>
      <w:pgMar w:top="1134" w:right="119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D1CF" w14:textId="77777777" w:rsidR="00EE3F17" w:rsidRDefault="00EE3F17" w:rsidP="00D108B3">
      <w:pPr>
        <w:spacing w:after="0" w:line="240" w:lineRule="auto"/>
      </w:pPr>
      <w:r>
        <w:separator/>
      </w:r>
    </w:p>
  </w:endnote>
  <w:endnote w:type="continuationSeparator" w:id="0">
    <w:p w14:paraId="39F96507" w14:textId="77777777" w:rsidR="00EE3F17" w:rsidRDefault="00EE3F17" w:rsidP="00D1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61A5" w14:textId="77777777" w:rsidR="00D530C2" w:rsidRDefault="00D53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4796"/>
      <w:gridCol w:w="4780"/>
    </w:tblGrid>
    <w:tr w:rsidR="00923FD7" w14:paraId="077F0EB8" w14:textId="77777777" w:rsidTr="00FB45B3">
      <w:trPr>
        <w:jc w:val="center"/>
      </w:trPr>
      <w:tc>
        <w:tcPr>
          <w:tcW w:w="4814" w:type="dxa"/>
          <w:tcBorders>
            <w:top w:val="single" w:sz="24" w:space="0" w:color="00305C"/>
            <w:left w:val="nil"/>
            <w:bottom w:val="nil"/>
            <w:right w:val="nil"/>
          </w:tcBorders>
        </w:tcPr>
        <w:p w14:paraId="743BF0A0" w14:textId="77777777" w:rsidR="00923FD7" w:rsidRPr="00923FD7" w:rsidRDefault="00923FD7" w:rsidP="00923FD7">
          <w:pPr>
            <w:pStyle w:val="SubsolPRSM"/>
            <w:rPr>
              <w:i/>
              <w:iCs/>
              <w:color w:val="B49B57"/>
            </w:rPr>
          </w:pPr>
          <w:r w:rsidRPr="00923FD7">
            <w:rPr>
              <w:color w:val="00305C"/>
            </w:rPr>
            <w:t>2021-2027.adrmuntenia.ro</w:t>
          </w:r>
        </w:p>
      </w:tc>
      <w:tc>
        <w:tcPr>
          <w:tcW w:w="4814" w:type="dxa"/>
          <w:tcBorders>
            <w:top w:val="single" w:sz="24" w:space="0" w:color="B49B57"/>
            <w:left w:val="nil"/>
            <w:bottom w:val="nil"/>
            <w:right w:val="nil"/>
          </w:tcBorders>
        </w:tcPr>
        <w:p w14:paraId="3A8B27B5" w14:textId="77777777" w:rsidR="00923FD7" w:rsidRDefault="00923FD7" w:rsidP="00923FD7">
          <w:pPr>
            <w:pStyle w:val="SubsolPRSM"/>
            <w:jc w:val="right"/>
          </w:pPr>
          <w:r>
            <w:fldChar w:fldCharType="begin"/>
          </w:r>
          <w:r>
            <w:instrText>PAGE   \* MERGEFORMAT</w:instrText>
          </w:r>
          <w:r>
            <w:fldChar w:fldCharType="separate"/>
          </w:r>
          <w:r>
            <w:t>1</w:t>
          </w:r>
          <w:r>
            <w:fldChar w:fldCharType="end"/>
          </w:r>
        </w:p>
      </w:tc>
    </w:tr>
  </w:tbl>
  <w:p w14:paraId="306452A8" w14:textId="77777777" w:rsidR="00E14AA1" w:rsidRDefault="00E14AA1" w:rsidP="00923FD7">
    <w:pPr>
      <w:pStyle w:val="SubsolPRS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4796"/>
      <w:gridCol w:w="4780"/>
    </w:tblGrid>
    <w:tr w:rsidR="00E14AA1" w:rsidRPr="00923FD7" w14:paraId="39CD9812" w14:textId="77777777" w:rsidTr="00923FD7">
      <w:trPr>
        <w:jc w:val="center"/>
      </w:trPr>
      <w:tc>
        <w:tcPr>
          <w:tcW w:w="4814" w:type="dxa"/>
          <w:tcBorders>
            <w:top w:val="single" w:sz="24" w:space="0" w:color="00305C"/>
            <w:left w:val="nil"/>
            <w:bottom w:val="nil"/>
            <w:right w:val="nil"/>
          </w:tcBorders>
        </w:tcPr>
        <w:p w14:paraId="0F9C250C" w14:textId="77777777" w:rsidR="00E14AA1" w:rsidRPr="00923FD7" w:rsidRDefault="00923FD7" w:rsidP="00E14AA1">
          <w:pPr>
            <w:pStyle w:val="SubsolPRSM"/>
            <w:rPr>
              <w:color w:val="00305C"/>
            </w:rPr>
          </w:pPr>
          <w:r w:rsidRPr="00923FD7">
            <w:rPr>
              <w:color w:val="00305C"/>
            </w:rPr>
            <w:t>2021-2027.adrmuntenia.ro</w:t>
          </w:r>
        </w:p>
      </w:tc>
      <w:tc>
        <w:tcPr>
          <w:tcW w:w="4814" w:type="dxa"/>
          <w:tcBorders>
            <w:top w:val="single" w:sz="24" w:space="0" w:color="B49B57"/>
            <w:left w:val="nil"/>
            <w:bottom w:val="nil"/>
            <w:right w:val="nil"/>
          </w:tcBorders>
        </w:tcPr>
        <w:p w14:paraId="7445EE23" w14:textId="77777777" w:rsidR="00E14AA1" w:rsidRPr="00923FD7" w:rsidRDefault="00E14AA1" w:rsidP="00923FD7">
          <w:pPr>
            <w:pStyle w:val="SubsolPRSM"/>
            <w:jc w:val="right"/>
            <w:rPr>
              <w:color w:val="00305C"/>
            </w:rPr>
          </w:pPr>
        </w:p>
      </w:tc>
    </w:tr>
  </w:tbl>
  <w:p w14:paraId="1F4FBEFC" w14:textId="77777777" w:rsidR="00E14AA1" w:rsidRDefault="00E14AA1" w:rsidP="00923FD7">
    <w:pPr>
      <w:pStyle w:val="SubsolPRS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83E2" w14:textId="77777777" w:rsidR="00EE3F17" w:rsidRDefault="00EE3F17" w:rsidP="00D108B3">
      <w:pPr>
        <w:spacing w:after="0" w:line="240" w:lineRule="auto"/>
      </w:pPr>
      <w:r>
        <w:separator/>
      </w:r>
    </w:p>
  </w:footnote>
  <w:footnote w:type="continuationSeparator" w:id="0">
    <w:p w14:paraId="39A0ED1D" w14:textId="77777777" w:rsidR="00EE3F17" w:rsidRDefault="00EE3F17" w:rsidP="00D1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F09D" w14:textId="77777777" w:rsidR="00D530C2" w:rsidRDefault="00D53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4557" w14:textId="77777777" w:rsidR="00D530C2" w:rsidRDefault="00D53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375C" w14:textId="77777777" w:rsidR="00D108B3" w:rsidRDefault="00E14AA1">
    <w:pPr>
      <w:pStyle w:val="Header"/>
    </w:pPr>
    <w:r>
      <w:rPr>
        <w:noProof/>
      </w:rPr>
      <w:drawing>
        <wp:anchor distT="0" distB="0" distL="114300" distR="114300" simplePos="0" relativeHeight="251658240" behindDoc="0" locked="0" layoutInCell="1" allowOverlap="1" wp14:anchorId="2268B235" wp14:editId="2589510E">
          <wp:simplePos x="0" y="0"/>
          <wp:positionH relativeFrom="page">
            <wp:align>center</wp:align>
          </wp:positionH>
          <wp:positionV relativeFrom="paragraph">
            <wp:posOffset>0</wp:posOffset>
          </wp:positionV>
          <wp:extent cx="6120000" cy="550800"/>
          <wp:effectExtent l="0" t="0" r="0" b="1905"/>
          <wp:wrapTopAndBottom/>
          <wp:docPr id="47032754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6120000" cy="55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0241D"/>
    <w:multiLevelType w:val="hybridMultilevel"/>
    <w:tmpl w:val="43C8C54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65C20008"/>
    <w:multiLevelType w:val="hybridMultilevel"/>
    <w:tmpl w:val="6E74C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35"/>
    <w:rsid w:val="00044A18"/>
    <w:rsid w:val="000E2F0C"/>
    <w:rsid w:val="000F37AE"/>
    <w:rsid w:val="000F7DAB"/>
    <w:rsid w:val="00107135"/>
    <w:rsid w:val="001258A6"/>
    <w:rsid w:val="001B2CBB"/>
    <w:rsid w:val="001D6CAC"/>
    <w:rsid w:val="001E5A02"/>
    <w:rsid w:val="002176E1"/>
    <w:rsid w:val="0023590E"/>
    <w:rsid w:val="00253F01"/>
    <w:rsid w:val="002861C3"/>
    <w:rsid w:val="002C382C"/>
    <w:rsid w:val="002E374D"/>
    <w:rsid w:val="002E6683"/>
    <w:rsid w:val="0030786F"/>
    <w:rsid w:val="00401649"/>
    <w:rsid w:val="00425AE1"/>
    <w:rsid w:val="004B480F"/>
    <w:rsid w:val="004B7037"/>
    <w:rsid w:val="004F0C32"/>
    <w:rsid w:val="0057743E"/>
    <w:rsid w:val="00593FD4"/>
    <w:rsid w:val="005C0271"/>
    <w:rsid w:val="005D319C"/>
    <w:rsid w:val="005D42AA"/>
    <w:rsid w:val="00687A25"/>
    <w:rsid w:val="006D4BEE"/>
    <w:rsid w:val="006E3DF8"/>
    <w:rsid w:val="00772D60"/>
    <w:rsid w:val="007733EA"/>
    <w:rsid w:val="007E1993"/>
    <w:rsid w:val="00821451"/>
    <w:rsid w:val="008703DC"/>
    <w:rsid w:val="0087654A"/>
    <w:rsid w:val="00903338"/>
    <w:rsid w:val="00923FD7"/>
    <w:rsid w:val="0094056F"/>
    <w:rsid w:val="009828F9"/>
    <w:rsid w:val="009F46CE"/>
    <w:rsid w:val="00A45668"/>
    <w:rsid w:val="00AA5D81"/>
    <w:rsid w:val="00B6554D"/>
    <w:rsid w:val="00B84DFC"/>
    <w:rsid w:val="00BD62E0"/>
    <w:rsid w:val="00BD78B7"/>
    <w:rsid w:val="00C62E2F"/>
    <w:rsid w:val="00C9717A"/>
    <w:rsid w:val="00CB40F6"/>
    <w:rsid w:val="00CC1316"/>
    <w:rsid w:val="00CD0597"/>
    <w:rsid w:val="00CD1C5D"/>
    <w:rsid w:val="00D108B3"/>
    <w:rsid w:val="00D530C2"/>
    <w:rsid w:val="00D91E39"/>
    <w:rsid w:val="00DB3745"/>
    <w:rsid w:val="00DB6AFC"/>
    <w:rsid w:val="00DF7C37"/>
    <w:rsid w:val="00E028C9"/>
    <w:rsid w:val="00E14AA1"/>
    <w:rsid w:val="00EA59AF"/>
    <w:rsid w:val="00EC0E22"/>
    <w:rsid w:val="00EE3F17"/>
    <w:rsid w:val="00F13AB5"/>
    <w:rsid w:val="00F339A7"/>
    <w:rsid w:val="00F833A9"/>
    <w:rsid w:val="00F90FED"/>
    <w:rsid w:val="00F9374B"/>
    <w:rsid w:val="00FC44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A1652"/>
  <w15:chartTrackingRefBased/>
  <w15:docId w15:val="{70B5DEE2-9802-4746-A542-412F2627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9C"/>
    <w:pPr>
      <w:spacing w:after="120"/>
      <w:ind w:firstLine="709"/>
      <w:jc w:val="both"/>
    </w:pPr>
    <w:rPr>
      <w:sz w:val="26"/>
    </w:rPr>
  </w:style>
  <w:style w:type="paragraph" w:styleId="Heading1">
    <w:name w:val="heading 1"/>
    <w:basedOn w:val="Normal"/>
    <w:next w:val="Normal"/>
    <w:link w:val="Heading1Char"/>
    <w:uiPriority w:val="9"/>
    <w:qFormat/>
    <w:rsid w:val="00593FD4"/>
    <w:pPr>
      <w:keepNext/>
      <w:keepLines/>
      <w:spacing w:before="240" w:after="240"/>
      <w:ind w:firstLine="0"/>
      <w:jc w:val="center"/>
      <w:outlineLvl w:val="0"/>
    </w:pPr>
    <w:rPr>
      <w:rFonts w:ascii="Calibri" w:eastAsiaTheme="majorEastAsia" w:hAnsi="Calibri" w:cstheme="majorBidi"/>
      <w:b/>
      <w:color w:val="00305C"/>
      <w:sz w:val="40"/>
      <w:szCs w:val="32"/>
    </w:rPr>
  </w:style>
  <w:style w:type="paragraph" w:styleId="Heading2">
    <w:name w:val="heading 2"/>
    <w:basedOn w:val="Normal"/>
    <w:next w:val="Normal"/>
    <w:link w:val="Heading2Char"/>
    <w:uiPriority w:val="9"/>
    <w:semiHidden/>
    <w:unhideWhenUsed/>
    <w:qFormat/>
    <w:rsid w:val="001B2CBB"/>
    <w:pPr>
      <w:keepNext/>
      <w:keepLines/>
      <w:spacing w:before="40" w:after="0"/>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D4"/>
    <w:rPr>
      <w:rFonts w:ascii="Calibri" w:eastAsiaTheme="majorEastAsia" w:hAnsi="Calibri" w:cstheme="majorBidi"/>
      <w:b/>
      <w:color w:val="00305C"/>
      <w:sz w:val="40"/>
      <w:szCs w:val="32"/>
    </w:rPr>
  </w:style>
  <w:style w:type="paragraph" w:styleId="Header">
    <w:name w:val="header"/>
    <w:basedOn w:val="Normal"/>
    <w:link w:val="HeaderChar"/>
    <w:uiPriority w:val="99"/>
    <w:unhideWhenUsed/>
    <w:rsid w:val="00D1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8B3"/>
    <w:rPr>
      <w:sz w:val="28"/>
    </w:rPr>
  </w:style>
  <w:style w:type="paragraph" w:styleId="Footer">
    <w:name w:val="footer"/>
    <w:basedOn w:val="Normal"/>
    <w:link w:val="FooterChar"/>
    <w:uiPriority w:val="99"/>
    <w:unhideWhenUsed/>
    <w:rsid w:val="00D1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8B3"/>
    <w:rPr>
      <w:sz w:val="28"/>
    </w:rPr>
  </w:style>
  <w:style w:type="paragraph" w:styleId="ListParagraph">
    <w:name w:val="List Paragraph"/>
    <w:basedOn w:val="Normal"/>
    <w:uiPriority w:val="34"/>
    <w:qFormat/>
    <w:rsid w:val="00E14AA1"/>
    <w:pPr>
      <w:ind w:left="720"/>
      <w:contextualSpacing/>
    </w:pPr>
  </w:style>
  <w:style w:type="paragraph" w:customStyle="1" w:styleId="SubsolPRSM">
    <w:name w:val="Subsol PR SM"/>
    <w:link w:val="SubsolPRSMCaracter"/>
    <w:qFormat/>
    <w:rsid w:val="005D319C"/>
    <w:pPr>
      <w:spacing w:after="0"/>
    </w:pPr>
    <w:rPr>
      <w:sz w:val="26"/>
    </w:rPr>
  </w:style>
  <w:style w:type="table" w:styleId="TableGrid">
    <w:name w:val="Table Grid"/>
    <w:basedOn w:val="TableNormal"/>
    <w:uiPriority w:val="39"/>
    <w:rsid w:val="00E1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PRSMCaracter">
    <w:name w:val="Subsol PR SM Caracter"/>
    <w:basedOn w:val="DefaultParagraphFont"/>
    <w:link w:val="SubsolPRSM"/>
    <w:rsid w:val="005D319C"/>
    <w:rPr>
      <w:sz w:val="26"/>
    </w:rPr>
  </w:style>
  <w:style w:type="paragraph" w:customStyle="1" w:styleId="Data-Loc">
    <w:name w:val="Data-Loc"/>
    <w:basedOn w:val="SubsolPRSM"/>
    <w:link w:val="Data-LocCaracter"/>
    <w:qFormat/>
    <w:rsid w:val="005D319C"/>
    <w:pPr>
      <w:spacing w:before="160" w:after="360"/>
      <w:jc w:val="right"/>
    </w:pPr>
    <w:rPr>
      <w:b/>
      <w:i/>
    </w:rPr>
  </w:style>
  <w:style w:type="character" w:customStyle="1" w:styleId="Data-LocCaracter">
    <w:name w:val="Data-Loc Caracter"/>
    <w:basedOn w:val="SubsolPRSMCaracter"/>
    <w:link w:val="Data-Loc"/>
    <w:rsid w:val="005D319C"/>
    <w:rPr>
      <w:b/>
      <w:i/>
      <w:sz w:val="26"/>
    </w:rPr>
  </w:style>
  <w:style w:type="character" w:customStyle="1" w:styleId="pr-section-title-italic">
    <w:name w:val="pr-section-title-italic"/>
    <w:basedOn w:val="DefaultParagraphFont"/>
    <w:rsid w:val="001B2CBB"/>
  </w:style>
  <w:style w:type="character" w:customStyle="1" w:styleId="Heading2Char">
    <w:name w:val="Heading 2 Char"/>
    <w:basedOn w:val="DefaultParagraphFont"/>
    <w:link w:val="Heading2"/>
    <w:uiPriority w:val="9"/>
    <w:semiHidden/>
    <w:rsid w:val="001B2CB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7743E"/>
    <w:rPr>
      <w:color w:val="0563C1" w:themeColor="hyperlink"/>
      <w:u w:val="single"/>
    </w:rPr>
  </w:style>
  <w:style w:type="character" w:styleId="UnresolvedMention">
    <w:name w:val="Unresolved Mention"/>
    <w:basedOn w:val="DefaultParagraphFont"/>
    <w:uiPriority w:val="99"/>
    <w:semiHidden/>
    <w:unhideWhenUsed/>
    <w:rsid w:val="0057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718</Words>
  <Characters>4095</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Carstoiu</dc:creator>
  <cp:keywords/>
  <dc:description/>
  <cp:lastModifiedBy>Elena</cp:lastModifiedBy>
  <cp:revision>6</cp:revision>
  <dcterms:created xsi:type="dcterms:W3CDTF">2026-05-14T07:24:00Z</dcterms:created>
  <dcterms:modified xsi:type="dcterms:W3CDTF">2026-06-16T07:33:00Z</dcterms:modified>
</cp:coreProperties>
</file>